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B59" w:rsidRDefault="003B1B59" w:rsidP="00C37E50">
      <w:pPr>
        <w:spacing w:after="180"/>
        <w:rPr>
          <w:rFonts w:cs="Arial"/>
          <w:b/>
          <w:sz w:val="28"/>
          <w:szCs w:val="28"/>
        </w:rPr>
      </w:pPr>
      <w:bookmarkStart w:id="0" w:name="_GoBack"/>
      <w:bookmarkEnd w:id="0"/>
    </w:p>
    <w:p w:rsidR="003B1B59" w:rsidRDefault="003B1B59" w:rsidP="00C37E50">
      <w:pPr>
        <w:spacing w:after="180"/>
        <w:rPr>
          <w:rFonts w:cs="Arial"/>
          <w:b/>
          <w:sz w:val="28"/>
          <w:szCs w:val="28"/>
        </w:rPr>
      </w:pPr>
    </w:p>
    <w:p w:rsidR="00C37E50" w:rsidRPr="006574E5" w:rsidRDefault="00C37E50" w:rsidP="00C37E50">
      <w:pPr>
        <w:spacing w:after="180"/>
        <w:rPr>
          <w:rFonts w:cs="Arial"/>
          <w:b/>
          <w:sz w:val="28"/>
          <w:szCs w:val="28"/>
        </w:rPr>
      </w:pPr>
      <w:r w:rsidRPr="006574E5">
        <w:rPr>
          <w:rFonts w:cs="Arial"/>
          <w:b/>
          <w:sz w:val="28"/>
          <w:szCs w:val="28"/>
        </w:rPr>
        <w:t xml:space="preserve">ADASS position </w:t>
      </w:r>
      <w:r>
        <w:rPr>
          <w:rFonts w:cs="Arial"/>
          <w:b/>
          <w:sz w:val="28"/>
          <w:szCs w:val="28"/>
        </w:rPr>
        <w:t xml:space="preserve">statement </w:t>
      </w:r>
      <w:r w:rsidRPr="006574E5">
        <w:rPr>
          <w:rFonts w:cs="Arial"/>
          <w:b/>
          <w:sz w:val="28"/>
          <w:szCs w:val="28"/>
        </w:rPr>
        <w:t>on visual impairment rehabilitation in the context of personalisation</w:t>
      </w:r>
    </w:p>
    <w:p w:rsidR="00C37E50" w:rsidRDefault="00C37E50" w:rsidP="00E34572">
      <w:pPr>
        <w:spacing w:after="0" w:line="240" w:lineRule="auto"/>
        <w:jc w:val="both"/>
        <w:rPr>
          <w:rFonts w:cs="Arial"/>
          <w:b/>
          <w:sz w:val="28"/>
          <w:szCs w:val="28"/>
        </w:rPr>
      </w:pPr>
      <w:r w:rsidRPr="00275D63">
        <w:rPr>
          <w:rFonts w:cs="Arial"/>
          <w:b/>
          <w:sz w:val="28"/>
          <w:szCs w:val="28"/>
        </w:rPr>
        <w:t>Background</w:t>
      </w:r>
    </w:p>
    <w:p w:rsidR="00E34572" w:rsidRPr="00275D63" w:rsidRDefault="00E34572" w:rsidP="00E34572">
      <w:pPr>
        <w:spacing w:after="0" w:line="240" w:lineRule="auto"/>
        <w:jc w:val="both"/>
        <w:rPr>
          <w:rFonts w:cs="Arial"/>
          <w:b/>
          <w:sz w:val="28"/>
          <w:szCs w:val="28"/>
        </w:rPr>
      </w:pPr>
    </w:p>
    <w:p w:rsidR="00E34572" w:rsidRDefault="00E34572" w:rsidP="00E34572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This document has been produced jointly by</w:t>
      </w:r>
      <w:r w:rsidR="00C37E50">
        <w:rPr>
          <w:rFonts w:cs="Arial"/>
        </w:rPr>
        <w:t xml:space="preserve"> the </w:t>
      </w:r>
      <w:r w:rsidR="00C37E50" w:rsidRPr="006574E5">
        <w:rPr>
          <w:rFonts w:cs="Arial"/>
        </w:rPr>
        <w:t xml:space="preserve">ADASS </w:t>
      </w:r>
      <w:r>
        <w:rPr>
          <w:rFonts w:cs="Arial"/>
        </w:rPr>
        <w:t xml:space="preserve">Physical </w:t>
      </w:r>
      <w:r w:rsidR="00A93D33">
        <w:rPr>
          <w:rFonts w:cs="Arial"/>
        </w:rPr>
        <w:t xml:space="preserve">and </w:t>
      </w:r>
      <w:r>
        <w:rPr>
          <w:rFonts w:cs="Arial"/>
        </w:rPr>
        <w:t>S</w:t>
      </w:r>
      <w:r w:rsidR="00C37E50">
        <w:rPr>
          <w:rFonts w:cs="Arial"/>
        </w:rPr>
        <w:t xml:space="preserve">ensory </w:t>
      </w:r>
      <w:r>
        <w:rPr>
          <w:rFonts w:cs="Arial"/>
        </w:rPr>
        <w:t>I</w:t>
      </w:r>
      <w:r w:rsidR="00C37E50">
        <w:rPr>
          <w:rFonts w:cs="Arial"/>
        </w:rPr>
        <w:t>mpairment</w:t>
      </w:r>
      <w:r>
        <w:rPr>
          <w:rFonts w:cs="Arial"/>
        </w:rPr>
        <w:t xml:space="preserve"> and HIV/AIDS</w:t>
      </w:r>
      <w:r w:rsidR="00C37E50">
        <w:rPr>
          <w:rFonts w:cs="Arial"/>
        </w:rPr>
        <w:t xml:space="preserve"> network and the ADASS </w:t>
      </w:r>
      <w:r>
        <w:rPr>
          <w:rFonts w:cs="Arial"/>
        </w:rPr>
        <w:t>W</w:t>
      </w:r>
      <w:r w:rsidR="00C37E50">
        <w:rPr>
          <w:rFonts w:cs="Arial"/>
        </w:rPr>
        <w:t xml:space="preserve">orkforce </w:t>
      </w:r>
      <w:r>
        <w:rPr>
          <w:rFonts w:cs="Arial"/>
        </w:rPr>
        <w:t>Development N</w:t>
      </w:r>
      <w:r w:rsidR="00C37E50">
        <w:rPr>
          <w:rFonts w:cs="Arial"/>
        </w:rPr>
        <w:t xml:space="preserve">etwork. </w:t>
      </w:r>
    </w:p>
    <w:p w:rsidR="00E34572" w:rsidRDefault="00E34572" w:rsidP="00E34572">
      <w:pPr>
        <w:spacing w:after="0" w:line="240" w:lineRule="auto"/>
        <w:jc w:val="both"/>
        <w:rPr>
          <w:rFonts w:cs="Arial"/>
        </w:rPr>
      </w:pPr>
    </w:p>
    <w:p w:rsidR="00C37E50" w:rsidRDefault="00C37E50" w:rsidP="00E34572">
      <w:pPr>
        <w:spacing w:after="0" w:line="240" w:lineRule="auto"/>
        <w:jc w:val="both"/>
        <w:rPr>
          <w:rFonts w:cs="Arial"/>
        </w:rPr>
      </w:pPr>
      <w:r w:rsidRPr="006574E5">
        <w:rPr>
          <w:rFonts w:cs="Arial"/>
        </w:rPr>
        <w:t>This</w:t>
      </w:r>
      <w:r>
        <w:rPr>
          <w:rFonts w:cs="Arial"/>
        </w:rPr>
        <w:t xml:space="preserve"> position </w:t>
      </w:r>
      <w:r w:rsidRPr="006574E5">
        <w:rPr>
          <w:rFonts w:cs="Arial"/>
        </w:rPr>
        <w:t xml:space="preserve">statement on visual impairment rehabilitation </w:t>
      </w:r>
      <w:r>
        <w:rPr>
          <w:rFonts w:cs="Arial"/>
        </w:rPr>
        <w:t xml:space="preserve">was first issued in 2011 and </w:t>
      </w:r>
      <w:r w:rsidR="00E34572">
        <w:rPr>
          <w:rFonts w:cs="Arial"/>
        </w:rPr>
        <w:t>has been updated for re-issue</w:t>
      </w:r>
      <w:r>
        <w:rPr>
          <w:rFonts w:cs="Arial"/>
        </w:rPr>
        <w:t xml:space="preserve">. </w:t>
      </w:r>
      <w:r w:rsidR="00E34572">
        <w:rPr>
          <w:rFonts w:cs="Arial"/>
        </w:rPr>
        <w:t>I</w:t>
      </w:r>
      <w:r>
        <w:rPr>
          <w:rFonts w:cs="Arial"/>
        </w:rPr>
        <w:t xml:space="preserve">t reflects the content of the ‘Seeing it my way’ </w:t>
      </w:r>
      <w:r w:rsidR="00A93D33">
        <w:rPr>
          <w:rFonts w:cs="Arial"/>
        </w:rPr>
        <w:t>outcomes framework a</w:t>
      </w:r>
      <w:r>
        <w:rPr>
          <w:rFonts w:cs="Arial"/>
        </w:rPr>
        <w:t>nd the Adult UK sight loss pathway</w:t>
      </w:r>
      <w:r>
        <w:rPr>
          <w:rStyle w:val="FootnoteReference"/>
          <w:rFonts w:cs="Arial"/>
        </w:rPr>
        <w:footnoteReference w:id="1"/>
      </w:r>
      <w:r>
        <w:rPr>
          <w:rFonts w:cs="Arial"/>
        </w:rPr>
        <w:t>, both of which are core components of the UK Vision Strategy (2013-2018) published in June 2013</w:t>
      </w:r>
      <w:r w:rsidR="00E34572">
        <w:rPr>
          <w:rFonts w:cs="Arial"/>
        </w:rPr>
        <w:t>.</w:t>
      </w:r>
      <w:r>
        <w:rPr>
          <w:rFonts w:cs="Arial"/>
        </w:rPr>
        <w:t xml:space="preserve"> </w:t>
      </w:r>
      <w:r w:rsidR="00E34572">
        <w:rPr>
          <w:rFonts w:cs="Arial"/>
        </w:rPr>
        <w:t>I</w:t>
      </w:r>
      <w:r>
        <w:rPr>
          <w:rFonts w:cs="Arial"/>
        </w:rPr>
        <w:t xml:space="preserve">t </w:t>
      </w:r>
      <w:r w:rsidR="00E34572">
        <w:rPr>
          <w:rFonts w:cs="Arial"/>
        </w:rPr>
        <w:t xml:space="preserve">also </w:t>
      </w:r>
      <w:r>
        <w:rPr>
          <w:rFonts w:cs="Arial"/>
        </w:rPr>
        <w:t xml:space="preserve">addresses concerns raised by the Royal National Institute of Blind People (RNIB), which </w:t>
      </w:r>
      <w:r w:rsidR="00E34572">
        <w:rPr>
          <w:rFonts w:cs="Arial"/>
        </w:rPr>
        <w:t>identified</w:t>
      </w:r>
      <w:r>
        <w:rPr>
          <w:rFonts w:cs="Arial"/>
        </w:rPr>
        <w:t xml:space="preserve"> a reduction in the availability of local authority</w:t>
      </w:r>
      <w:r w:rsidR="00E34572">
        <w:rPr>
          <w:rFonts w:cs="Arial"/>
        </w:rPr>
        <w:t xml:space="preserve"> </w:t>
      </w:r>
      <w:r>
        <w:rPr>
          <w:rFonts w:cs="Arial"/>
        </w:rPr>
        <w:t xml:space="preserve">rehabilitation services, </w:t>
      </w:r>
      <w:r w:rsidR="00E34572">
        <w:rPr>
          <w:rFonts w:cs="Arial"/>
        </w:rPr>
        <w:t>and</w:t>
      </w:r>
      <w:r>
        <w:rPr>
          <w:rFonts w:cs="Arial"/>
        </w:rPr>
        <w:t xml:space="preserve"> also </w:t>
      </w:r>
      <w:r w:rsidR="00A93D33">
        <w:rPr>
          <w:rFonts w:cs="Arial"/>
        </w:rPr>
        <w:t>reve</w:t>
      </w:r>
      <w:r>
        <w:rPr>
          <w:rFonts w:cs="Arial"/>
        </w:rPr>
        <w:t>aled that around 25</w:t>
      </w:r>
      <w:r w:rsidR="00E34572">
        <w:rPr>
          <w:rFonts w:cs="Arial"/>
        </w:rPr>
        <w:t>%</w:t>
      </w:r>
      <w:r>
        <w:rPr>
          <w:rFonts w:cs="Arial"/>
        </w:rPr>
        <w:t xml:space="preserve"> of local authorities </w:t>
      </w:r>
      <w:r w:rsidR="00A93D33">
        <w:rPr>
          <w:rFonts w:cs="Arial"/>
        </w:rPr>
        <w:t>were</w:t>
      </w:r>
      <w:r>
        <w:rPr>
          <w:rFonts w:cs="Arial"/>
        </w:rPr>
        <w:t xml:space="preserve"> not providing rehabilitation services until after a F</w:t>
      </w:r>
      <w:r w:rsidR="00E34572">
        <w:rPr>
          <w:rFonts w:cs="Arial"/>
        </w:rPr>
        <w:t>air Access to Care Services (F</w:t>
      </w:r>
      <w:r>
        <w:rPr>
          <w:rFonts w:cs="Arial"/>
        </w:rPr>
        <w:t>ACS</w:t>
      </w:r>
      <w:r w:rsidR="00E34572">
        <w:rPr>
          <w:rFonts w:cs="Arial"/>
        </w:rPr>
        <w:t>)</w:t>
      </w:r>
      <w:r>
        <w:rPr>
          <w:rFonts w:cs="Arial"/>
        </w:rPr>
        <w:t xml:space="preserve"> assessment has been conducted</w:t>
      </w:r>
      <w:r>
        <w:rPr>
          <w:rStyle w:val="FootnoteReference"/>
          <w:rFonts w:cs="Arial"/>
        </w:rPr>
        <w:footnoteReference w:id="2"/>
      </w:r>
      <w:r>
        <w:rPr>
          <w:rFonts w:cs="Arial"/>
        </w:rPr>
        <w:t xml:space="preserve">.  </w:t>
      </w:r>
    </w:p>
    <w:p w:rsidR="00E34572" w:rsidRDefault="00E34572" w:rsidP="00E34572">
      <w:pPr>
        <w:spacing w:after="0" w:line="240" w:lineRule="auto"/>
        <w:jc w:val="both"/>
        <w:rPr>
          <w:rFonts w:cs="Arial"/>
        </w:rPr>
      </w:pPr>
    </w:p>
    <w:p w:rsidR="00C37E50" w:rsidRDefault="00C37E50" w:rsidP="00E34572">
      <w:pPr>
        <w:spacing w:after="0" w:line="240" w:lineRule="auto"/>
        <w:jc w:val="both"/>
        <w:rPr>
          <w:rFonts w:cs="Arial"/>
        </w:rPr>
      </w:pPr>
      <w:r w:rsidRPr="006574E5">
        <w:rPr>
          <w:rFonts w:cs="Arial"/>
        </w:rPr>
        <w:t xml:space="preserve">This </w:t>
      </w:r>
      <w:r w:rsidR="00E34572">
        <w:rPr>
          <w:rFonts w:cs="Arial"/>
        </w:rPr>
        <w:t xml:space="preserve">position </w:t>
      </w:r>
      <w:r w:rsidRPr="006574E5">
        <w:rPr>
          <w:rFonts w:cs="Arial"/>
        </w:rPr>
        <w:t xml:space="preserve">statement </w:t>
      </w:r>
      <w:r>
        <w:rPr>
          <w:rFonts w:cs="Arial"/>
        </w:rPr>
        <w:t>re-</w:t>
      </w:r>
      <w:r w:rsidR="00E34572">
        <w:rPr>
          <w:rFonts w:cs="Arial"/>
        </w:rPr>
        <w:t>affirms</w:t>
      </w:r>
      <w:r>
        <w:rPr>
          <w:rFonts w:cs="Arial"/>
        </w:rPr>
        <w:t xml:space="preserve"> the </w:t>
      </w:r>
      <w:r w:rsidRPr="006574E5">
        <w:rPr>
          <w:rFonts w:cs="Arial"/>
        </w:rPr>
        <w:t>ADASS position</w:t>
      </w:r>
      <w:r>
        <w:rPr>
          <w:rFonts w:cs="Arial"/>
        </w:rPr>
        <w:t xml:space="preserve"> on this issue</w:t>
      </w:r>
      <w:r w:rsidRPr="006574E5">
        <w:rPr>
          <w:rFonts w:cs="Arial"/>
        </w:rPr>
        <w:t>.</w:t>
      </w:r>
      <w:r>
        <w:rPr>
          <w:rFonts w:cs="Arial"/>
        </w:rPr>
        <w:t xml:space="preserve">  </w:t>
      </w:r>
    </w:p>
    <w:p w:rsidR="00E34572" w:rsidRDefault="00E34572" w:rsidP="00E34572">
      <w:pPr>
        <w:spacing w:after="0" w:line="240" w:lineRule="auto"/>
        <w:jc w:val="both"/>
        <w:rPr>
          <w:rFonts w:cs="Arial"/>
          <w:b/>
          <w:sz w:val="28"/>
          <w:szCs w:val="28"/>
        </w:rPr>
      </w:pPr>
    </w:p>
    <w:p w:rsidR="00C37E50" w:rsidRDefault="00C37E50" w:rsidP="00E34572">
      <w:pPr>
        <w:spacing w:after="0" w:line="240" w:lineRule="auto"/>
        <w:jc w:val="both"/>
        <w:rPr>
          <w:rFonts w:cs="Arial"/>
          <w:b/>
          <w:sz w:val="28"/>
          <w:szCs w:val="28"/>
        </w:rPr>
      </w:pPr>
      <w:r w:rsidRPr="00B932D4">
        <w:rPr>
          <w:rFonts w:cs="Arial"/>
          <w:b/>
          <w:sz w:val="28"/>
          <w:szCs w:val="28"/>
        </w:rPr>
        <w:t>The role of rehabilitation and the policy context</w:t>
      </w:r>
    </w:p>
    <w:p w:rsidR="00E34572" w:rsidRPr="00B932D4" w:rsidRDefault="00E34572" w:rsidP="00E34572">
      <w:pPr>
        <w:spacing w:after="0" w:line="240" w:lineRule="auto"/>
        <w:jc w:val="both"/>
        <w:rPr>
          <w:rFonts w:cs="Arial"/>
          <w:b/>
          <w:sz w:val="28"/>
          <w:szCs w:val="28"/>
        </w:rPr>
      </w:pPr>
    </w:p>
    <w:p w:rsidR="00E34572" w:rsidRDefault="00C37E50" w:rsidP="00E34572">
      <w:pPr>
        <w:spacing w:after="0" w:line="240" w:lineRule="auto"/>
        <w:jc w:val="both"/>
        <w:rPr>
          <w:rFonts w:cs="Arial"/>
        </w:rPr>
      </w:pPr>
      <w:r w:rsidRPr="006574E5">
        <w:rPr>
          <w:rFonts w:cs="Arial"/>
        </w:rPr>
        <w:t xml:space="preserve">Rehabilitation for visually impaired people is a specific form of </w:t>
      </w:r>
      <w:proofErr w:type="spellStart"/>
      <w:r w:rsidRPr="006574E5">
        <w:rPr>
          <w:rFonts w:cs="Arial"/>
        </w:rPr>
        <w:t>reablement</w:t>
      </w:r>
      <w:proofErr w:type="spellEnd"/>
      <w:r w:rsidRPr="006574E5">
        <w:rPr>
          <w:rFonts w:cs="Arial"/>
        </w:rPr>
        <w:t xml:space="preserve">. </w:t>
      </w:r>
      <w:r>
        <w:rPr>
          <w:rFonts w:cs="Arial"/>
        </w:rPr>
        <w:t>T</w:t>
      </w:r>
      <w:r w:rsidRPr="006574E5">
        <w:rPr>
          <w:rFonts w:cs="Arial"/>
        </w:rPr>
        <w:t xml:space="preserve">here are some intrinsic characteristics which define rehabilitation as being distinct from other forms of </w:t>
      </w:r>
      <w:proofErr w:type="spellStart"/>
      <w:r w:rsidRPr="006574E5">
        <w:rPr>
          <w:rFonts w:cs="Arial"/>
        </w:rPr>
        <w:t>reablement</w:t>
      </w:r>
      <w:proofErr w:type="spellEnd"/>
      <w:r w:rsidR="00E34572">
        <w:rPr>
          <w:rFonts w:cs="Arial"/>
        </w:rPr>
        <w:t>.</w:t>
      </w:r>
      <w:r w:rsidRPr="006574E5">
        <w:rPr>
          <w:rFonts w:cs="Arial"/>
        </w:rPr>
        <w:t xml:space="preserve">  </w:t>
      </w:r>
    </w:p>
    <w:p w:rsidR="00E34572" w:rsidRDefault="00E34572" w:rsidP="00E34572">
      <w:pPr>
        <w:spacing w:after="0" w:line="240" w:lineRule="auto"/>
        <w:jc w:val="both"/>
        <w:rPr>
          <w:rFonts w:cs="Arial"/>
        </w:rPr>
      </w:pPr>
    </w:p>
    <w:p w:rsidR="00E34572" w:rsidRDefault="00E34572" w:rsidP="00E34572">
      <w:pPr>
        <w:spacing w:after="0" w:line="240" w:lineRule="auto"/>
        <w:jc w:val="both"/>
        <w:rPr>
          <w:rFonts w:cs="Arial"/>
        </w:rPr>
      </w:pPr>
      <w:r w:rsidRPr="00E34572">
        <w:rPr>
          <w:rFonts w:cs="Arial"/>
        </w:rPr>
        <w:t>Evidence from service users is that visual impairment rehabilitation is a long-term process borne out of a long-term condition. It encompasses mobility and other independence skills, emotional support and the development of new communication skills and cannot necessarily reach a successful conclusion within a six-week timeframe.</w:t>
      </w:r>
      <w:r w:rsidR="00785D39">
        <w:rPr>
          <w:rFonts w:cs="Arial"/>
        </w:rPr>
        <w:t xml:space="preserve"> </w:t>
      </w:r>
      <w:r w:rsidRPr="00E34572">
        <w:rPr>
          <w:rFonts w:cs="Arial"/>
        </w:rPr>
        <w:t xml:space="preserve">Due to the degenerative nature of most eye disease people frequently need to re-engage with preventative services. </w:t>
      </w:r>
    </w:p>
    <w:p w:rsidR="00E34572" w:rsidRPr="00E34572" w:rsidRDefault="00E34572" w:rsidP="00E34572">
      <w:pPr>
        <w:spacing w:after="0" w:line="240" w:lineRule="auto"/>
        <w:jc w:val="both"/>
        <w:rPr>
          <w:rFonts w:cs="Arial"/>
        </w:rPr>
      </w:pPr>
    </w:p>
    <w:p w:rsidR="00E34572" w:rsidRDefault="00E34572" w:rsidP="00E34572">
      <w:pPr>
        <w:spacing w:after="0" w:line="240" w:lineRule="auto"/>
        <w:jc w:val="both"/>
        <w:rPr>
          <w:rFonts w:cs="Arial"/>
        </w:rPr>
      </w:pPr>
      <w:r w:rsidRPr="00E34572">
        <w:rPr>
          <w:rFonts w:cs="Arial"/>
        </w:rPr>
        <w:t xml:space="preserve">Rehabilitation programmes should be time limited but not time prescribed. </w:t>
      </w:r>
      <w:r w:rsidR="00785D39">
        <w:rPr>
          <w:rFonts w:cs="Arial"/>
        </w:rPr>
        <w:t>I</w:t>
      </w:r>
      <w:r w:rsidRPr="00E34572">
        <w:rPr>
          <w:rFonts w:cs="Arial"/>
        </w:rPr>
        <w:t xml:space="preserve">t is not expected that a rehabilitation programme will have no end point, but due to the nature of sight loss and personal circumstances of each individual, </w:t>
      </w:r>
      <w:r w:rsidR="00785D39">
        <w:rPr>
          <w:rFonts w:cs="Arial"/>
        </w:rPr>
        <w:t xml:space="preserve">this may not be possible </w:t>
      </w:r>
      <w:r w:rsidRPr="00E34572">
        <w:rPr>
          <w:rFonts w:cs="Arial"/>
        </w:rPr>
        <w:t>to achieve within a six week period the outcomes that will truly minimise dependency.</w:t>
      </w:r>
    </w:p>
    <w:p w:rsidR="00C37E50" w:rsidRPr="006574E5" w:rsidRDefault="00785D39" w:rsidP="00E34572">
      <w:pPr>
        <w:spacing w:after="0" w:line="240" w:lineRule="auto"/>
        <w:jc w:val="both"/>
        <w:rPr>
          <w:rFonts w:cs="Arial"/>
        </w:rPr>
      </w:pPr>
      <w:r w:rsidRPr="00785D39">
        <w:rPr>
          <w:rFonts w:cs="Arial"/>
        </w:rPr>
        <w:lastRenderedPageBreak/>
        <w:t>W</w:t>
      </w:r>
      <w:r w:rsidR="00C37E50" w:rsidRPr="00785D39">
        <w:rPr>
          <w:rFonts w:cs="Arial"/>
        </w:rPr>
        <w:t xml:space="preserve">ithin </w:t>
      </w:r>
      <w:r w:rsidR="00C37E50" w:rsidRPr="00785D39">
        <w:rPr>
          <w:rFonts w:cs="Arial"/>
          <w:i/>
        </w:rPr>
        <w:t>Putting People First</w:t>
      </w:r>
      <w:r w:rsidR="00C37E50" w:rsidRPr="00785D39">
        <w:rPr>
          <w:rFonts w:cs="Arial"/>
        </w:rPr>
        <w:t xml:space="preserve">, </w:t>
      </w:r>
      <w:r w:rsidRPr="00785D39">
        <w:rPr>
          <w:rFonts w:cs="Arial"/>
        </w:rPr>
        <w:t xml:space="preserve">rehabilitation </w:t>
      </w:r>
      <w:r w:rsidR="00C37E50" w:rsidRPr="00785D39">
        <w:rPr>
          <w:rFonts w:cs="Arial"/>
        </w:rPr>
        <w:t>constitutes an established form of early intervention, one of the four domains of personalisa</w:t>
      </w:r>
      <w:r>
        <w:rPr>
          <w:rFonts w:cs="Arial"/>
        </w:rPr>
        <w:t xml:space="preserve">tion. </w:t>
      </w:r>
      <w:r w:rsidR="00C37E50" w:rsidRPr="00020B8A">
        <w:rPr>
          <w:rFonts w:cs="Arial"/>
          <w:i/>
        </w:rPr>
        <w:t xml:space="preserve">Prioritising need in the context of Putting People </w:t>
      </w:r>
      <w:r w:rsidR="003B1B59" w:rsidRPr="00020B8A">
        <w:rPr>
          <w:rFonts w:cs="Arial"/>
          <w:i/>
        </w:rPr>
        <w:t>First</w:t>
      </w:r>
      <w:r w:rsidR="00C66351">
        <w:rPr>
          <w:rFonts w:cs="Arial"/>
          <w:i/>
        </w:rPr>
        <w:t>, Department of Health 2010</w:t>
      </w:r>
      <w:r w:rsidR="003B1B59">
        <w:rPr>
          <w:rFonts w:cs="Arial"/>
          <w:i/>
        </w:rPr>
        <w:t xml:space="preserve"> </w:t>
      </w:r>
      <w:r w:rsidR="003B1B59" w:rsidRPr="006574E5">
        <w:rPr>
          <w:rFonts w:cs="Arial"/>
        </w:rPr>
        <w:t>describes</w:t>
      </w:r>
      <w:r w:rsidR="00C37E50" w:rsidRPr="006574E5">
        <w:rPr>
          <w:rFonts w:cs="Arial"/>
        </w:rPr>
        <w:t xml:space="preserve"> </w:t>
      </w:r>
      <w:proofErr w:type="spellStart"/>
      <w:r w:rsidR="00C37E50" w:rsidRPr="006574E5">
        <w:rPr>
          <w:rFonts w:cs="Arial"/>
        </w:rPr>
        <w:t>reablement</w:t>
      </w:r>
      <w:proofErr w:type="spellEnd"/>
      <w:r w:rsidR="00C37E50" w:rsidRPr="006574E5">
        <w:rPr>
          <w:rFonts w:cs="Arial"/>
        </w:rPr>
        <w:t xml:space="preserve"> (which includes rehabilitation) as separate from, and preceding, assessment for personalised budgets within choice and control. </w:t>
      </w:r>
    </w:p>
    <w:p w:rsidR="00C37E50" w:rsidRDefault="00C37E50" w:rsidP="00E34572">
      <w:pPr>
        <w:spacing w:after="0" w:line="240" w:lineRule="auto"/>
        <w:jc w:val="both"/>
        <w:rPr>
          <w:rFonts w:cs="Arial"/>
          <w:b/>
          <w:sz w:val="28"/>
          <w:szCs w:val="28"/>
        </w:rPr>
      </w:pPr>
    </w:p>
    <w:p w:rsidR="00C37E50" w:rsidRDefault="00C37E50" w:rsidP="00E34572">
      <w:pPr>
        <w:spacing w:after="0" w:line="240" w:lineRule="auto"/>
        <w:jc w:val="both"/>
        <w:rPr>
          <w:rFonts w:cs="Arial"/>
          <w:b/>
          <w:sz w:val="28"/>
          <w:szCs w:val="28"/>
        </w:rPr>
      </w:pPr>
      <w:r w:rsidRPr="00B932D4">
        <w:rPr>
          <w:rFonts w:cs="Arial"/>
          <w:b/>
          <w:sz w:val="28"/>
          <w:szCs w:val="28"/>
        </w:rPr>
        <w:t>The financial benefits</w:t>
      </w:r>
    </w:p>
    <w:p w:rsidR="00785D39" w:rsidRPr="00B932D4" w:rsidRDefault="00785D39" w:rsidP="00E34572">
      <w:pPr>
        <w:spacing w:after="0" w:line="240" w:lineRule="auto"/>
        <w:jc w:val="both"/>
        <w:rPr>
          <w:rFonts w:cs="Arial"/>
          <w:b/>
          <w:sz w:val="28"/>
          <w:szCs w:val="28"/>
        </w:rPr>
      </w:pPr>
    </w:p>
    <w:p w:rsidR="00785D39" w:rsidRDefault="00C37E50" w:rsidP="00E34572">
      <w:pPr>
        <w:spacing w:after="0" w:line="240" w:lineRule="auto"/>
        <w:jc w:val="both"/>
        <w:rPr>
          <w:rFonts w:cs="Arial"/>
        </w:rPr>
      </w:pPr>
      <w:r w:rsidRPr="006574E5">
        <w:rPr>
          <w:rFonts w:cs="Arial"/>
        </w:rPr>
        <w:t xml:space="preserve">Rehabilitation, like </w:t>
      </w:r>
      <w:proofErr w:type="spellStart"/>
      <w:r w:rsidRPr="006574E5">
        <w:rPr>
          <w:rFonts w:cs="Arial"/>
        </w:rPr>
        <w:t>reablement</w:t>
      </w:r>
      <w:proofErr w:type="spellEnd"/>
      <w:r w:rsidRPr="006574E5">
        <w:rPr>
          <w:rFonts w:cs="Arial"/>
        </w:rPr>
        <w:t xml:space="preserve">, enables people to live independent lives outside of the care system, </w:t>
      </w:r>
      <w:r w:rsidR="00785D39">
        <w:rPr>
          <w:rFonts w:cs="Arial"/>
        </w:rPr>
        <w:t>and</w:t>
      </w:r>
      <w:r w:rsidRPr="006574E5">
        <w:rPr>
          <w:rFonts w:cs="Arial"/>
        </w:rPr>
        <w:t xml:space="preserve"> in so doing, </w:t>
      </w:r>
      <w:r>
        <w:rPr>
          <w:rFonts w:cs="Arial"/>
        </w:rPr>
        <w:t xml:space="preserve">helps </w:t>
      </w:r>
      <w:r w:rsidRPr="006574E5">
        <w:rPr>
          <w:rFonts w:cs="Arial"/>
        </w:rPr>
        <w:t>avoid the need for costly long</w:t>
      </w:r>
      <w:r w:rsidR="00785D39">
        <w:rPr>
          <w:rFonts w:cs="Arial"/>
        </w:rPr>
        <w:t xml:space="preserve">er </w:t>
      </w:r>
      <w:r w:rsidRPr="006574E5">
        <w:rPr>
          <w:rFonts w:cs="Arial"/>
        </w:rPr>
        <w:t xml:space="preserve">term care packages. </w:t>
      </w:r>
      <w:r w:rsidR="00785D39">
        <w:rPr>
          <w:rFonts w:cs="Arial"/>
        </w:rPr>
        <w:t xml:space="preserve">Research carried out in </w:t>
      </w:r>
      <w:r w:rsidRPr="006574E5">
        <w:rPr>
          <w:rFonts w:cs="Arial"/>
        </w:rPr>
        <w:t>2010</w:t>
      </w:r>
      <w:r w:rsidR="00785D39">
        <w:rPr>
          <w:rFonts w:cs="Arial"/>
        </w:rPr>
        <w:t xml:space="preserve"> by </w:t>
      </w:r>
      <w:r w:rsidRPr="006574E5">
        <w:rPr>
          <w:rFonts w:cs="Arial"/>
        </w:rPr>
        <w:t>York University</w:t>
      </w:r>
      <w:r>
        <w:rPr>
          <w:rFonts w:cs="Arial"/>
        </w:rPr>
        <w:t>’s Social Policy Research Unit</w:t>
      </w:r>
      <w:r w:rsidRPr="006574E5">
        <w:rPr>
          <w:rFonts w:cs="Arial"/>
        </w:rPr>
        <w:t xml:space="preserve"> confirmed these conclusions</w:t>
      </w:r>
      <w:r>
        <w:rPr>
          <w:rFonts w:cs="Arial"/>
        </w:rPr>
        <w:t xml:space="preserve">. </w:t>
      </w:r>
    </w:p>
    <w:p w:rsidR="00785D39" w:rsidRDefault="00785D39" w:rsidP="00E34572">
      <w:pPr>
        <w:spacing w:after="0" w:line="240" w:lineRule="auto"/>
        <w:jc w:val="both"/>
        <w:rPr>
          <w:rFonts w:cs="Arial"/>
        </w:rPr>
      </w:pPr>
    </w:p>
    <w:p w:rsidR="00C37E50" w:rsidRDefault="00785D39" w:rsidP="00E34572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Rehabilitation can also </w:t>
      </w:r>
      <w:r w:rsidR="00C37E50">
        <w:rPr>
          <w:rFonts w:cs="Arial"/>
        </w:rPr>
        <w:t xml:space="preserve">play a significant part in supporting wider adult social care agendas </w:t>
      </w:r>
      <w:r w:rsidR="00C37E50" w:rsidRPr="00775C08">
        <w:rPr>
          <w:rFonts w:cs="Arial"/>
        </w:rPr>
        <w:t>to support active and inclusive communities</w:t>
      </w:r>
      <w:r w:rsidR="00C37E50">
        <w:rPr>
          <w:rFonts w:cs="Arial"/>
        </w:rPr>
        <w:t xml:space="preserve"> and assist</w:t>
      </w:r>
      <w:r w:rsidR="00C37E50" w:rsidRPr="00775C08">
        <w:rPr>
          <w:rFonts w:cs="Arial"/>
        </w:rPr>
        <w:t xml:space="preserve"> people to develop and maintain connections to friends and family. </w:t>
      </w:r>
    </w:p>
    <w:p w:rsidR="00785D39" w:rsidRDefault="00785D39" w:rsidP="00E34572">
      <w:pPr>
        <w:spacing w:after="0" w:line="240" w:lineRule="auto"/>
        <w:jc w:val="both"/>
        <w:rPr>
          <w:rFonts w:cs="Arial"/>
        </w:rPr>
      </w:pPr>
    </w:p>
    <w:p w:rsidR="00C37E50" w:rsidRDefault="00C37E50" w:rsidP="00E34572">
      <w:pPr>
        <w:spacing w:after="0" w:line="240" w:lineRule="auto"/>
        <w:jc w:val="both"/>
        <w:rPr>
          <w:rFonts w:cs="Arial"/>
          <w:b/>
          <w:sz w:val="28"/>
          <w:szCs w:val="28"/>
        </w:rPr>
      </w:pPr>
      <w:r w:rsidRPr="00484A85">
        <w:rPr>
          <w:rFonts w:cs="Arial"/>
          <w:b/>
          <w:sz w:val="28"/>
          <w:szCs w:val="28"/>
        </w:rPr>
        <w:t>Securing qualified Rehabilitation Officers</w:t>
      </w:r>
    </w:p>
    <w:p w:rsidR="00785D39" w:rsidRPr="00484A85" w:rsidRDefault="00785D39" w:rsidP="00E34572">
      <w:pPr>
        <w:spacing w:after="0" w:line="240" w:lineRule="auto"/>
        <w:jc w:val="both"/>
        <w:rPr>
          <w:rFonts w:cs="Arial"/>
          <w:b/>
          <w:sz w:val="28"/>
          <w:szCs w:val="28"/>
        </w:rPr>
      </w:pPr>
    </w:p>
    <w:p w:rsidR="00785D39" w:rsidRDefault="00C37E50" w:rsidP="00E34572">
      <w:pPr>
        <w:spacing w:after="0" w:line="240" w:lineRule="auto"/>
        <w:jc w:val="both"/>
        <w:rPr>
          <w:rFonts w:cs="Arial"/>
        </w:rPr>
      </w:pPr>
      <w:r w:rsidRPr="00785D39">
        <w:rPr>
          <w:rFonts w:cs="Arial"/>
        </w:rPr>
        <w:t xml:space="preserve">The increasing number of older people with sensory needs mean that </w:t>
      </w:r>
      <w:r w:rsidR="00785D39">
        <w:rPr>
          <w:rFonts w:cs="Arial"/>
        </w:rPr>
        <w:t xml:space="preserve">rehabilitation </w:t>
      </w:r>
      <w:r w:rsidRPr="00785D39">
        <w:rPr>
          <w:rFonts w:cs="Arial"/>
        </w:rPr>
        <w:t xml:space="preserve">is likely to be a service in high demand. </w:t>
      </w:r>
      <w:r w:rsidR="00785D39" w:rsidRPr="00785D39">
        <w:rPr>
          <w:rFonts w:cs="Arial"/>
        </w:rPr>
        <w:t xml:space="preserve">It is well established that there is a strong correlation between visual impairment and falls amongst older people. </w:t>
      </w:r>
      <w:r w:rsidRPr="00785D39">
        <w:rPr>
          <w:rFonts w:cs="Arial"/>
        </w:rPr>
        <w:t>Additionally</w:t>
      </w:r>
      <w:r w:rsidR="00785D39">
        <w:rPr>
          <w:rFonts w:cs="Arial"/>
        </w:rPr>
        <w:t>,</w:t>
      </w:r>
      <w:r w:rsidRPr="00785D39">
        <w:rPr>
          <w:rFonts w:cs="Arial"/>
        </w:rPr>
        <w:t xml:space="preserve"> visual impairment is often present alongside other conditions such as hearing loss, learning disability or dementia. </w:t>
      </w:r>
    </w:p>
    <w:p w:rsidR="00785D39" w:rsidRDefault="00785D39" w:rsidP="00E34572">
      <w:pPr>
        <w:spacing w:after="0" w:line="240" w:lineRule="auto"/>
        <w:jc w:val="both"/>
        <w:rPr>
          <w:rFonts w:cs="Arial"/>
        </w:rPr>
      </w:pPr>
    </w:p>
    <w:p w:rsidR="00C37E50" w:rsidRPr="00785D39" w:rsidRDefault="00C37E50" w:rsidP="00E34572">
      <w:pPr>
        <w:spacing w:after="0" w:line="240" w:lineRule="auto"/>
        <w:jc w:val="both"/>
        <w:rPr>
          <w:rFonts w:cs="Arial"/>
        </w:rPr>
      </w:pPr>
      <w:r w:rsidRPr="00785D39">
        <w:rPr>
          <w:rFonts w:cs="Arial"/>
        </w:rPr>
        <w:t xml:space="preserve">Local authorities should consider securing specialist qualified rehabilitation and assessment provision </w:t>
      </w:r>
      <w:r w:rsidR="00785D39">
        <w:rPr>
          <w:rFonts w:cs="Arial"/>
        </w:rPr>
        <w:t>(</w:t>
      </w:r>
      <w:r w:rsidRPr="00785D39">
        <w:rPr>
          <w:rFonts w:cs="Arial"/>
        </w:rPr>
        <w:t>whether in-house, or contracted through a third party</w:t>
      </w:r>
      <w:r w:rsidR="00785D39">
        <w:rPr>
          <w:rFonts w:cs="Arial"/>
        </w:rPr>
        <w:t>)</w:t>
      </w:r>
      <w:r w:rsidRPr="00785D39">
        <w:rPr>
          <w:rFonts w:cs="Arial"/>
        </w:rPr>
        <w:t xml:space="preserve">, to ensure that the needs of people with sight loss are correctly identified </w:t>
      </w:r>
      <w:r w:rsidR="00785D39" w:rsidRPr="00785D39">
        <w:rPr>
          <w:rFonts w:cs="Arial"/>
        </w:rPr>
        <w:t>and their</w:t>
      </w:r>
      <w:r w:rsidRPr="00785D39">
        <w:rPr>
          <w:rFonts w:cs="Arial"/>
        </w:rPr>
        <w:t xml:space="preserve"> independence maximised</w:t>
      </w:r>
      <w:r w:rsidR="00785D39">
        <w:rPr>
          <w:rFonts w:cs="Arial"/>
        </w:rPr>
        <w:t>.</w:t>
      </w:r>
      <w:r w:rsidRPr="00785D39">
        <w:rPr>
          <w:rFonts w:cs="Arial"/>
        </w:rPr>
        <w:t xml:space="preserve"> Certain aspects of independence training with blind and partially sighted people require careful risk management and should only be undertaken by a fully qualified Rehabilitation Officer.</w:t>
      </w:r>
    </w:p>
    <w:p w:rsidR="00C37E50" w:rsidRPr="006574E5" w:rsidRDefault="00C37E50" w:rsidP="00E34572">
      <w:pPr>
        <w:spacing w:after="0" w:line="240" w:lineRule="auto"/>
        <w:jc w:val="both"/>
        <w:rPr>
          <w:rFonts w:cs="Arial"/>
        </w:rPr>
      </w:pPr>
    </w:p>
    <w:p w:rsidR="00C37E50" w:rsidRDefault="00C37E50" w:rsidP="00E34572">
      <w:pPr>
        <w:spacing w:after="0" w:line="240" w:lineRule="auto"/>
        <w:jc w:val="both"/>
        <w:rPr>
          <w:rFonts w:cs="Arial"/>
          <w:b/>
          <w:sz w:val="28"/>
          <w:szCs w:val="28"/>
        </w:rPr>
      </w:pPr>
      <w:r w:rsidRPr="00BE50DD">
        <w:rPr>
          <w:rFonts w:cs="Arial"/>
          <w:b/>
          <w:sz w:val="28"/>
          <w:szCs w:val="28"/>
        </w:rPr>
        <w:t>Our relationship with the third sector</w:t>
      </w:r>
      <w:r>
        <w:rPr>
          <w:rFonts w:cs="Arial"/>
          <w:b/>
          <w:sz w:val="28"/>
          <w:szCs w:val="28"/>
        </w:rPr>
        <w:t xml:space="preserve"> </w:t>
      </w:r>
    </w:p>
    <w:p w:rsidR="00785D39" w:rsidRDefault="00785D39" w:rsidP="00E34572">
      <w:pPr>
        <w:spacing w:after="0" w:line="240" w:lineRule="auto"/>
        <w:jc w:val="both"/>
        <w:rPr>
          <w:rFonts w:cs="Arial"/>
          <w:b/>
          <w:sz w:val="28"/>
          <w:szCs w:val="28"/>
        </w:rPr>
      </w:pPr>
    </w:p>
    <w:p w:rsidR="00785D39" w:rsidRDefault="005A53BF" w:rsidP="00E34572">
      <w:pPr>
        <w:spacing w:after="0" w:line="240" w:lineRule="auto"/>
        <w:jc w:val="both"/>
        <w:rPr>
          <w:rFonts w:cs="Arial"/>
        </w:rPr>
      </w:pPr>
      <w:r>
        <w:rPr>
          <w:rFonts w:cs="Arial"/>
          <w:i/>
        </w:rPr>
        <w:t>Think Local, Act Personal (2011)</w:t>
      </w:r>
      <w:r w:rsidR="00C37E50" w:rsidRPr="006574E5">
        <w:rPr>
          <w:rFonts w:cs="Arial"/>
        </w:rPr>
        <w:t xml:space="preserve"> calls for agencies to work together and there are opportunities for voluntary and community sector providers to ‘co-produce’ in partnership with local authorities. </w:t>
      </w:r>
    </w:p>
    <w:p w:rsidR="00785D39" w:rsidRDefault="00785D39" w:rsidP="00E34572">
      <w:pPr>
        <w:spacing w:after="0" w:line="240" w:lineRule="auto"/>
        <w:jc w:val="both"/>
        <w:rPr>
          <w:rFonts w:cs="Arial"/>
        </w:rPr>
      </w:pPr>
    </w:p>
    <w:p w:rsidR="003B1B59" w:rsidRDefault="003B1B59" w:rsidP="00E34572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T</w:t>
      </w:r>
      <w:r w:rsidR="00C37E50" w:rsidRPr="00785D39">
        <w:rPr>
          <w:rFonts w:cs="Arial"/>
        </w:rPr>
        <w:t>here needs to be shared understanding and shared risk</w:t>
      </w:r>
      <w:r>
        <w:rPr>
          <w:rFonts w:cs="Arial"/>
        </w:rPr>
        <w:t>.</w:t>
      </w:r>
      <w:r w:rsidR="00C37E50" w:rsidRPr="00785D39">
        <w:rPr>
          <w:rFonts w:cs="Arial"/>
        </w:rPr>
        <w:t xml:space="preserve"> The Compact with the third sector was designed exactly for this type of arrangement, although it is often overlooked and not all areas have a local Compact with the voluntary sector. </w:t>
      </w:r>
    </w:p>
    <w:p w:rsidR="003B1B59" w:rsidRDefault="003B1B59" w:rsidP="00E34572">
      <w:pPr>
        <w:spacing w:after="0" w:line="240" w:lineRule="auto"/>
        <w:jc w:val="both"/>
        <w:rPr>
          <w:rFonts w:cs="Arial"/>
        </w:rPr>
      </w:pPr>
    </w:p>
    <w:p w:rsidR="003B1B59" w:rsidRDefault="003B1B59" w:rsidP="00E34572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Commissioners within local authorities</w:t>
      </w:r>
      <w:r w:rsidR="00C37E50" w:rsidRPr="00785D39">
        <w:rPr>
          <w:rFonts w:cs="Arial"/>
        </w:rPr>
        <w:t xml:space="preserve"> </w:t>
      </w:r>
      <w:r>
        <w:rPr>
          <w:rFonts w:cs="Arial"/>
        </w:rPr>
        <w:t>will need to work closely with the third sector to ensure arrangements for the provision of rehabilitation services are sustainable.</w:t>
      </w:r>
    </w:p>
    <w:p w:rsidR="003B1B59" w:rsidRPr="003B1B59" w:rsidRDefault="003B1B59" w:rsidP="00E34572">
      <w:pPr>
        <w:spacing w:after="0" w:line="240" w:lineRule="auto"/>
        <w:jc w:val="both"/>
        <w:rPr>
          <w:rFonts w:cs="Arial"/>
          <w:b/>
          <w:szCs w:val="24"/>
        </w:rPr>
      </w:pPr>
      <w:r w:rsidRPr="003B1B59">
        <w:rPr>
          <w:rFonts w:cs="Arial"/>
          <w:b/>
          <w:szCs w:val="24"/>
        </w:rPr>
        <w:lastRenderedPageBreak/>
        <w:t>References</w:t>
      </w:r>
    </w:p>
    <w:p w:rsidR="003B1B59" w:rsidRDefault="003B1B59" w:rsidP="00E34572">
      <w:pPr>
        <w:spacing w:after="0" w:line="240" w:lineRule="auto"/>
        <w:jc w:val="both"/>
        <w:rPr>
          <w:rFonts w:cs="Arial"/>
          <w:szCs w:val="24"/>
        </w:rPr>
      </w:pPr>
    </w:p>
    <w:p w:rsidR="003B1B59" w:rsidRPr="00557903" w:rsidRDefault="003B1B59" w:rsidP="003B1B59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‘</w:t>
      </w:r>
      <w:r w:rsidRPr="00557903">
        <w:rPr>
          <w:rFonts w:cs="Arial"/>
          <w:b/>
        </w:rPr>
        <w:t xml:space="preserve">Seeing </w:t>
      </w:r>
      <w:r>
        <w:rPr>
          <w:rFonts w:cs="Arial"/>
          <w:b/>
        </w:rPr>
        <w:t>i</w:t>
      </w:r>
      <w:r w:rsidRPr="00557903">
        <w:rPr>
          <w:rFonts w:cs="Arial"/>
          <w:b/>
        </w:rPr>
        <w:t xml:space="preserve">t </w:t>
      </w:r>
      <w:r>
        <w:rPr>
          <w:rFonts w:cs="Arial"/>
          <w:b/>
        </w:rPr>
        <w:t>m</w:t>
      </w:r>
      <w:r w:rsidRPr="00557903">
        <w:rPr>
          <w:rFonts w:cs="Arial"/>
          <w:b/>
        </w:rPr>
        <w:t xml:space="preserve">y </w:t>
      </w:r>
      <w:r>
        <w:rPr>
          <w:rFonts w:cs="Arial"/>
          <w:b/>
        </w:rPr>
        <w:t>w</w:t>
      </w:r>
      <w:r w:rsidRPr="00557903">
        <w:rPr>
          <w:rFonts w:cs="Arial"/>
          <w:b/>
        </w:rPr>
        <w:t>ay</w:t>
      </w:r>
      <w:r>
        <w:rPr>
          <w:rFonts w:cs="Arial"/>
          <w:b/>
        </w:rPr>
        <w:t>’</w:t>
      </w:r>
      <w:r w:rsidRPr="00557903">
        <w:rPr>
          <w:rFonts w:cs="Arial"/>
          <w:b/>
        </w:rPr>
        <w:t xml:space="preserve"> </w:t>
      </w:r>
      <w:r w:rsidR="00A93D33">
        <w:rPr>
          <w:rFonts w:cs="Arial"/>
          <w:b/>
        </w:rPr>
        <w:t>o</w:t>
      </w:r>
      <w:r w:rsidRPr="00557903">
        <w:rPr>
          <w:rFonts w:cs="Arial"/>
          <w:b/>
        </w:rPr>
        <w:t>utcomes</w:t>
      </w:r>
      <w:r w:rsidR="00A93D33">
        <w:rPr>
          <w:rFonts w:cs="Arial"/>
          <w:b/>
        </w:rPr>
        <w:t xml:space="preserve"> framework</w:t>
      </w:r>
    </w:p>
    <w:p w:rsidR="003B1B59" w:rsidRDefault="004005F1" w:rsidP="003B1B5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lang w:eastAsia="en-GB"/>
        </w:rPr>
      </w:pPr>
      <w:hyperlink r:id="rId7" w:history="1">
        <w:r w:rsidR="003B1B59" w:rsidRPr="00832452">
          <w:rPr>
            <w:rStyle w:val="Hyperlink"/>
            <w:rFonts w:cs="Arial"/>
            <w:b/>
            <w:bCs/>
            <w:lang w:eastAsia="en-GB"/>
          </w:rPr>
          <w:t>www.vision2020uk.org.uk/ukvisionstrategy/seeing-it-my-way</w:t>
        </w:r>
      </w:hyperlink>
    </w:p>
    <w:p w:rsidR="003B1B59" w:rsidRDefault="003B1B59" w:rsidP="003B1B59">
      <w:pPr>
        <w:tabs>
          <w:tab w:val="left" w:pos="376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lang w:eastAsia="en-GB"/>
        </w:rPr>
      </w:pPr>
      <w:r>
        <w:rPr>
          <w:rFonts w:cs="Arial"/>
          <w:b/>
          <w:bCs/>
          <w:lang w:eastAsia="en-GB"/>
        </w:rPr>
        <w:tab/>
      </w:r>
    </w:p>
    <w:p w:rsidR="003B1B59" w:rsidRPr="00557903" w:rsidRDefault="003B1B59" w:rsidP="003B1B5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lang w:eastAsia="en-GB"/>
        </w:rPr>
      </w:pPr>
    </w:p>
    <w:p w:rsidR="003B1B59" w:rsidRPr="00557903" w:rsidRDefault="003B1B59" w:rsidP="003B1B59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Adult </w:t>
      </w:r>
      <w:smartTag w:uri="urn:schemas-microsoft-com:office:smarttags" w:element="country-region">
        <w:smartTag w:uri="urn:schemas-microsoft-com:office:smarttags" w:element="place">
          <w:r w:rsidRPr="00557903">
            <w:rPr>
              <w:rFonts w:cs="Arial"/>
              <w:b/>
            </w:rPr>
            <w:t>UK</w:t>
          </w:r>
        </w:smartTag>
      </w:smartTag>
      <w:r w:rsidRPr="00557903">
        <w:rPr>
          <w:rFonts w:cs="Arial"/>
          <w:b/>
        </w:rPr>
        <w:t xml:space="preserve"> </w:t>
      </w:r>
      <w:r>
        <w:rPr>
          <w:rFonts w:cs="Arial"/>
          <w:b/>
        </w:rPr>
        <w:t>s</w:t>
      </w:r>
      <w:r w:rsidRPr="00557903">
        <w:rPr>
          <w:rFonts w:cs="Arial"/>
          <w:b/>
        </w:rPr>
        <w:t xml:space="preserve">ight </w:t>
      </w:r>
      <w:r>
        <w:rPr>
          <w:rFonts w:cs="Arial"/>
          <w:b/>
        </w:rPr>
        <w:t>l</w:t>
      </w:r>
      <w:r w:rsidRPr="00557903">
        <w:rPr>
          <w:rFonts w:cs="Arial"/>
          <w:b/>
        </w:rPr>
        <w:t xml:space="preserve">oss </w:t>
      </w:r>
      <w:r>
        <w:rPr>
          <w:rFonts w:cs="Arial"/>
          <w:b/>
        </w:rPr>
        <w:t>p</w:t>
      </w:r>
      <w:r w:rsidRPr="00557903">
        <w:rPr>
          <w:rFonts w:cs="Arial"/>
          <w:b/>
        </w:rPr>
        <w:t>athway</w:t>
      </w:r>
    </w:p>
    <w:p w:rsidR="003B1B59" w:rsidRPr="00557903" w:rsidRDefault="004005F1" w:rsidP="003B1B59">
      <w:pPr>
        <w:spacing w:after="0" w:line="240" w:lineRule="auto"/>
        <w:jc w:val="both"/>
        <w:rPr>
          <w:rFonts w:cs="Arial"/>
        </w:rPr>
      </w:pPr>
      <w:hyperlink r:id="rId8" w:history="1">
        <w:r w:rsidR="003B1B59" w:rsidRPr="00832452">
          <w:rPr>
            <w:rStyle w:val="Hyperlink"/>
            <w:rFonts w:cs="Arial"/>
            <w:b/>
            <w:bCs/>
            <w:lang w:eastAsia="en-GB"/>
          </w:rPr>
          <w:t>www.vision2020uk.org.uk/ukvisionstrategy/sight-loss-pathway</w:t>
        </w:r>
      </w:hyperlink>
      <w:r w:rsidR="003B1B59">
        <w:rPr>
          <w:rFonts w:cs="Arial"/>
          <w:b/>
          <w:bCs/>
          <w:lang w:eastAsia="en-GB"/>
        </w:rPr>
        <w:t xml:space="preserve"> </w:t>
      </w:r>
    </w:p>
    <w:p w:rsidR="003B1B59" w:rsidRDefault="003B1B59" w:rsidP="003B1B59">
      <w:pPr>
        <w:spacing w:after="0" w:line="240" w:lineRule="auto"/>
        <w:jc w:val="both"/>
        <w:rPr>
          <w:rFonts w:cs="Arial"/>
        </w:rPr>
      </w:pPr>
    </w:p>
    <w:p w:rsidR="003B1B59" w:rsidRPr="006574E5" w:rsidRDefault="003B1B59" w:rsidP="003B1B59">
      <w:pPr>
        <w:spacing w:after="0" w:line="240" w:lineRule="auto"/>
        <w:jc w:val="both"/>
        <w:rPr>
          <w:rFonts w:cs="Arial"/>
        </w:rPr>
      </w:pPr>
    </w:p>
    <w:p w:rsidR="00C37E50" w:rsidRPr="00AC7FA3" w:rsidRDefault="003B1B59" w:rsidP="00E34572">
      <w:pPr>
        <w:spacing w:after="0" w:line="240" w:lineRule="auto"/>
        <w:jc w:val="both"/>
        <w:rPr>
          <w:rFonts w:cs="Arial"/>
          <w:b/>
        </w:rPr>
      </w:pPr>
      <w:r w:rsidRPr="00AC7FA3">
        <w:rPr>
          <w:rFonts w:cs="Arial"/>
          <w:b/>
        </w:rPr>
        <w:t>Brian Walsh and Joan Beck</w:t>
      </w:r>
    </w:p>
    <w:p w:rsidR="003B1B59" w:rsidRDefault="003B1B59" w:rsidP="00E34572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Joint Chairs</w:t>
      </w:r>
    </w:p>
    <w:p w:rsidR="003B1B59" w:rsidRDefault="003B1B59" w:rsidP="00E34572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ADASS Workforce Development Network</w:t>
      </w:r>
    </w:p>
    <w:p w:rsidR="003B1B59" w:rsidRDefault="003B1B59" w:rsidP="00E34572">
      <w:pPr>
        <w:spacing w:after="0" w:line="240" w:lineRule="auto"/>
        <w:jc w:val="both"/>
        <w:rPr>
          <w:rFonts w:cs="Arial"/>
        </w:rPr>
      </w:pPr>
    </w:p>
    <w:p w:rsidR="003B1B59" w:rsidRPr="00AC7FA3" w:rsidRDefault="003B1B59" w:rsidP="00E34572">
      <w:pPr>
        <w:spacing w:after="0" w:line="240" w:lineRule="auto"/>
        <w:jc w:val="both"/>
        <w:rPr>
          <w:rFonts w:cs="Arial"/>
          <w:b/>
        </w:rPr>
      </w:pPr>
      <w:r w:rsidRPr="00AC7FA3">
        <w:rPr>
          <w:rFonts w:cs="Arial"/>
          <w:b/>
        </w:rPr>
        <w:t>John Nawrockyi and Mark Godfrey</w:t>
      </w:r>
    </w:p>
    <w:p w:rsidR="003B1B59" w:rsidRDefault="003B1B59" w:rsidP="00E34572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Joint Chairs</w:t>
      </w:r>
    </w:p>
    <w:p w:rsidR="003B1B59" w:rsidRDefault="003B1B59" w:rsidP="00E34572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ADASS Physical </w:t>
      </w:r>
      <w:r w:rsidR="00A93D33">
        <w:rPr>
          <w:rFonts w:cs="Arial"/>
        </w:rPr>
        <w:t>and</w:t>
      </w:r>
      <w:r>
        <w:rPr>
          <w:rFonts w:cs="Arial"/>
        </w:rPr>
        <w:t xml:space="preserve"> Sensory Impairment and HIV/AIDS Network</w:t>
      </w:r>
    </w:p>
    <w:p w:rsidR="00C37E50" w:rsidRDefault="00C37E50" w:rsidP="00E34572">
      <w:pPr>
        <w:spacing w:after="0" w:line="240" w:lineRule="auto"/>
        <w:jc w:val="both"/>
      </w:pPr>
    </w:p>
    <w:p w:rsidR="00C37E50" w:rsidRPr="006F6FA0" w:rsidRDefault="00C37E50" w:rsidP="00E34572">
      <w:pPr>
        <w:spacing w:after="0" w:line="240" w:lineRule="auto"/>
        <w:jc w:val="both"/>
      </w:pPr>
    </w:p>
    <w:p w:rsidR="007F7F72" w:rsidRPr="006F6FA0" w:rsidRDefault="00A93D33" w:rsidP="00E34572">
      <w:pPr>
        <w:spacing w:after="0" w:line="240" w:lineRule="auto"/>
        <w:jc w:val="both"/>
      </w:pPr>
      <w:r>
        <w:t>December 2013</w:t>
      </w:r>
    </w:p>
    <w:sectPr w:rsidR="007F7F72" w:rsidRPr="006F6FA0" w:rsidSect="009E0B1B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5F1" w:rsidRDefault="004005F1" w:rsidP="00C37E50">
      <w:pPr>
        <w:spacing w:after="0" w:line="240" w:lineRule="auto"/>
      </w:pPr>
      <w:r>
        <w:separator/>
      </w:r>
    </w:p>
  </w:endnote>
  <w:endnote w:type="continuationSeparator" w:id="0">
    <w:p w:rsidR="004005F1" w:rsidRDefault="004005F1" w:rsidP="00C3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07608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3D33" w:rsidRDefault="00A93D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5F3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93D33" w:rsidRDefault="00A93D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66796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3D33" w:rsidRDefault="00A93D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5F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3D33" w:rsidRDefault="00A93D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5F1" w:rsidRDefault="004005F1" w:rsidP="00C37E50">
      <w:pPr>
        <w:spacing w:after="0" w:line="240" w:lineRule="auto"/>
      </w:pPr>
      <w:r>
        <w:separator/>
      </w:r>
    </w:p>
  </w:footnote>
  <w:footnote w:type="continuationSeparator" w:id="0">
    <w:p w:rsidR="004005F1" w:rsidRDefault="004005F1" w:rsidP="00C37E50">
      <w:pPr>
        <w:spacing w:after="0" w:line="240" w:lineRule="auto"/>
      </w:pPr>
      <w:r>
        <w:continuationSeparator/>
      </w:r>
    </w:p>
  </w:footnote>
  <w:footnote w:id="1">
    <w:p w:rsidR="00A93D33" w:rsidRPr="009B28DD" w:rsidRDefault="00A93D33" w:rsidP="00C37E50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Seeing it My Way and Adult UK Sight Loss Pathway</w:t>
      </w:r>
    </w:p>
  </w:footnote>
  <w:footnote w:id="2">
    <w:p w:rsidR="00A93D33" w:rsidRPr="00063946" w:rsidRDefault="00A93D33" w:rsidP="00C37E50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RNIB (2013) Facing Blindness Alone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D33" w:rsidRDefault="00A93D33">
    <w:pPr>
      <w:pStyle w:val="Header"/>
      <w:jc w:val="center"/>
    </w:pPr>
  </w:p>
  <w:p w:rsidR="00A93D33" w:rsidRDefault="00A93D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D33" w:rsidRDefault="00A93D3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4000500</wp:posOffset>
          </wp:positionH>
          <wp:positionV relativeFrom="paragraph">
            <wp:posOffset>-335915</wp:posOffset>
          </wp:positionV>
          <wp:extent cx="2057400" cy="1493520"/>
          <wp:effectExtent l="0" t="0" r="0" b="0"/>
          <wp:wrapTight wrapText="bothSides">
            <wp:wrapPolygon edited="0">
              <wp:start x="0" y="0"/>
              <wp:lineTo x="0" y="21214"/>
              <wp:lineTo x="21400" y="21214"/>
              <wp:lineTo x="21400" y="0"/>
              <wp:lineTo x="0" y="0"/>
            </wp:wrapPolygon>
          </wp:wrapTight>
          <wp:docPr id="2" name="Picture 2" descr="ADASS LOGO_new spac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ASS LOGO_new spac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49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4DA86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9A80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15469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4E57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FA09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5A69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24E3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AA8C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0B4A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3CD3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919B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F6A449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64003E5"/>
    <w:multiLevelType w:val="multilevel"/>
    <w:tmpl w:val="2FBA4A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3C7639D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A544AB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CA846F9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50"/>
    <w:rsid w:val="00032F2E"/>
    <w:rsid w:val="000636D1"/>
    <w:rsid w:val="000865F5"/>
    <w:rsid w:val="001D7C37"/>
    <w:rsid w:val="00304BF7"/>
    <w:rsid w:val="00382F3B"/>
    <w:rsid w:val="003B1B59"/>
    <w:rsid w:val="004005F1"/>
    <w:rsid w:val="005251F5"/>
    <w:rsid w:val="005A53BF"/>
    <w:rsid w:val="005F7C5C"/>
    <w:rsid w:val="00636269"/>
    <w:rsid w:val="006F6FA0"/>
    <w:rsid w:val="00785D39"/>
    <w:rsid w:val="007F7F72"/>
    <w:rsid w:val="008560C0"/>
    <w:rsid w:val="00926083"/>
    <w:rsid w:val="009E0B1B"/>
    <w:rsid w:val="00A2009B"/>
    <w:rsid w:val="00A93D33"/>
    <w:rsid w:val="00A95F31"/>
    <w:rsid w:val="00AC7FA3"/>
    <w:rsid w:val="00BE17D8"/>
    <w:rsid w:val="00C37E50"/>
    <w:rsid w:val="00C66351"/>
    <w:rsid w:val="00DC0BE8"/>
    <w:rsid w:val="00E34572"/>
    <w:rsid w:val="00E47B41"/>
    <w:rsid w:val="00FD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469AF5FE-C754-420F-9919-C503B057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083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6083"/>
    <w:pPr>
      <w:keepNext/>
      <w:keepLines/>
      <w:numPr>
        <w:numId w:val="16"/>
      </w:numPr>
      <w:spacing w:before="480" w:after="0"/>
      <w:jc w:val="center"/>
      <w:outlineLvl w:val="0"/>
    </w:pPr>
    <w:rPr>
      <w:rFonts w:eastAsia="Times New Roman"/>
      <w:b/>
      <w:bCs/>
      <w:color w:val="365F9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083"/>
    <w:pPr>
      <w:keepNext/>
      <w:numPr>
        <w:ilvl w:val="1"/>
        <w:numId w:val="16"/>
      </w:numPr>
      <w:spacing w:before="240" w:after="60"/>
      <w:outlineLvl w:val="1"/>
    </w:pPr>
    <w:rPr>
      <w:rFonts w:eastAsiaTheme="majorEastAsia" w:cstheme="majorBidi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6083"/>
    <w:pPr>
      <w:keepNext/>
      <w:numPr>
        <w:ilvl w:val="2"/>
        <w:numId w:val="16"/>
      </w:numPr>
      <w:spacing w:before="240" w:after="60"/>
      <w:outlineLvl w:val="2"/>
    </w:pPr>
    <w:rPr>
      <w:rFonts w:eastAsiaTheme="majorEastAsia" w:cstheme="majorBidi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6083"/>
    <w:pPr>
      <w:keepNext/>
      <w:keepLines/>
      <w:numPr>
        <w:ilvl w:val="3"/>
        <w:numId w:val="16"/>
      </w:numPr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6083"/>
    <w:pPr>
      <w:keepNext/>
      <w:keepLines/>
      <w:numPr>
        <w:ilvl w:val="4"/>
        <w:numId w:val="16"/>
      </w:numPr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6083"/>
    <w:pPr>
      <w:keepNext/>
      <w:keepLines/>
      <w:numPr>
        <w:ilvl w:val="5"/>
        <w:numId w:val="16"/>
      </w:numPr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6083"/>
    <w:pPr>
      <w:keepNext/>
      <w:keepLines/>
      <w:numPr>
        <w:ilvl w:val="6"/>
        <w:numId w:val="16"/>
      </w:numPr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6083"/>
    <w:pPr>
      <w:keepNext/>
      <w:keepLines/>
      <w:numPr>
        <w:ilvl w:val="7"/>
        <w:numId w:val="16"/>
      </w:numPr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6083"/>
    <w:pPr>
      <w:keepNext/>
      <w:keepLines/>
      <w:numPr>
        <w:ilvl w:val="8"/>
        <w:numId w:val="16"/>
      </w:numPr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6FA0"/>
    <w:rPr>
      <w:rFonts w:ascii="Arial" w:hAnsi="Arial"/>
      <w:sz w:val="24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926083"/>
    <w:rPr>
      <w:rFonts w:ascii="Arial" w:eastAsia="Times New Roman" w:hAnsi="Arial"/>
      <w:b/>
      <w:bCs/>
      <w:color w:val="365F91"/>
      <w:sz w:val="36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560C0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560C0"/>
    <w:rPr>
      <w:rFonts w:ascii="Century Gothic" w:eastAsia="Times New Roman" w:hAnsi="Century Gothic"/>
      <w:color w:val="17365D"/>
      <w:spacing w:val="5"/>
      <w:kern w:val="28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6083"/>
    <w:rPr>
      <w:rFonts w:ascii="Arial" w:eastAsiaTheme="majorEastAsia" w:hAnsi="Arial" w:cstheme="majorBidi"/>
      <w:b/>
      <w:bCs/>
      <w:iCs/>
      <w:sz w:val="32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26083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6083"/>
    <w:rPr>
      <w:rFonts w:ascii="Arial" w:eastAsiaTheme="majorEastAsia" w:hAnsi="Arial" w:cstheme="majorBidi"/>
      <w:b/>
      <w:bCs/>
      <w:i/>
      <w:iCs/>
      <w:color w:val="4F81BD" w:themeColor="accent1"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6083"/>
    <w:rPr>
      <w:rFonts w:ascii="Arial" w:eastAsiaTheme="majorEastAsia" w:hAnsi="Arial" w:cstheme="majorBidi"/>
      <w:color w:val="243F60" w:themeColor="accent1" w:themeShade="7F"/>
      <w:sz w:val="24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6083"/>
    <w:rPr>
      <w:rFonts w:ascii="Arial" w:eastAsiaTheme="majorEastAsia" w:hAnsi="Arial" w:cstheme="majorBidi"/>
      <w:i/>
      <w:iCs/>
      <w:color w:val="243F60" w:themeColor="accent1" w:themeShade="7F"/>
      <w:sz w:val="24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6083"/>
    <w:rPr>
      <w:rFonts w:ascii="Arial" w:eastAsiaTheme="majorEastAsia" w:hAnsi="Arial" w:cstheme="majorBidi"/>
      <w:i/>
      <w:iCs/>
      <w:color w:val="404040" w:themeColor="text1" w:themeTint="BF"/>
      <w:sz w:val="24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6083"/>
    <w:rPr>
      <w:rFonts w:ascii="Arial" w:eastAsiaTheme="majorEastAsia" w:hAnsi="Arial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6083"/>
    <w:rPr>
      <w:rFonts w:ascii="Arial" w:eastAsiaTheme="majorEastAsia" w:hAnsi="Arial" w:cstheme="majorBidi"/>
      <w:i/>
      <w:iCs/>
      <w:color w:val="404040" w:themeColor="text1" w:themeTint="BF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6FA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F6FA0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6FA0"/>
    <w:pPr>
      <w:jc w:val="left"/>
      <w:outlineLvl w:val="9"/>
    </w:pPr>
    <w:rPr>
      <w:rFonts w:eastAsiaTheme="majorEastAsia" w:cstheme="majorBidi"/>
      <w:color w:val="365F91" w:themeColor="accent1" w:themeShade="BF"/>
      <w:sz w:val="28"/>
    </w:rPr>
  </w:style>
  <w:style w:type="table" w:styleId="TableGrid">
    <w:name w:val="Table Grid"/>
    <w:basedOn w:val="TableNormal"/>
    <w:uiPriority w:val="59"/>
    <w:rsid w:val="006F6FA0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F6FA0"/>
    <w:rPr>
      <w:rFonts w:ascii="Arial" w:hAnsi="Arial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F6FA0"/>
    <w:rPr>
      <w:rFonts w:ascii="Arial" w:hAnsi="Arial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F6FA0"/>
    <w:rPr>
      <w:rFonts w:ascii="Arial" w:hAnsi="Arial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6F6FA0"/>
    <w:rPr>
      <w:rFonts w:ascii="Arial" w:hAnsi="Arial"/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6F6FA0"/>
    <w:rPr>
      <w:rFonts w:ascii="Arial" w:hAnsi="Arial"/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6F6FA0"/>
    <w:rPr>
      <w:rFonts w:ascii="Arial" w:hAnsi="Arial"/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6F6FA0"/>
    <w:rPr>
      <w:rFonts w:ascii="Arial" w:hAnsi="Arial"/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6F6FA0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6F6FA0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6F6FA0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6F6FA0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F6FA0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6F6FA0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6F6FA0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6F6FA0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F6FA0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6F6FA0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6F6FA0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6F6FA0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6F6FA0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6F6FA0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F6FA0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FA0"/>
    <w:rPr>
      <w:rFonts w:ascii="Arial" w:hAnsi="Arial" w:cs="Tahoma"/>
      <w:sz w:val="16"/>
      <w:szCs w:val="16"/>
      <w:lang w:eastAsia="en-US"/>
    </w:rPr>
  </w:style>
  <w:style w:type="paragraph" w:styleId="BlockText">
    <w:name w:val="Block Text"/>
    <w:basedOn w:val="Normal"/>
    <w:uiPriority w:val="99"/>
    <w:semiHidden/>
    <w:unhideWhenUsed/>
    <w:rsid w:val="006F6FA0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6F6FA0"/>
    <w:rPr>
      <w:szCs w:val="24"/>
    </w:rPr>
  </w:style>
  <w:style w:type="paragraph" w:styleId="Header">
    <w:name w:val="header"/>
    <w:basedOn w:val="Normal"/>
    <w:link w:val="HeaderChar"/>
    <w:uiPriority w:val="99"/>
    <w:rsid w:val="00C37E5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37E5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rsid w:val="00C37E5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C37E50"/>
    <w:rPr>
      <w:rFonts w:ascii="Times New Roman" w:eastAsia="Times New Roman" w:hAnsi="Times New Roman"/>
      <w:lang w:val="en-US" w:eastAsia="en-US"/>
    </w:rPr>
  </w:style>
  <w:style w:type="character" w:styleId="FootnoteReference">
    <w:name w:val="footnote reference"/>
    <w:rsid w:val="00C37E50"/>
    <w:rPr>
      <w:vertAlign w:val="superscript"/>
    </w:rPr>
  </w:style>
  <w:style w:type="character" w:styleId="Hyperlink">
    <w:name w:val="Hyperlink"/>
    <w:rsid w:val="00C37E5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86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5F5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on2020uk.org.uk/ukvisionstrategy/sight-loss-pathwa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sion2020uk.org.uk/ukvisionstrategy/seeing-it-my-wa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Guide Dogs for the Blind</Company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 Department</dc:creator>
  <cp:lastModifiedBy>simon labbett</cp:lastModifiedBy>
  <cp:revision>2</cp:revision>
  <cp:lastPrinted>2013-11-29T09:52:00Z</cp:lastPrinted>
  <dcterms:created xsi:type="dcterms:W3CDTF">2014-08-19T17:10:00Z</dcterms:created>
  <dcterms:modified xsi:type="dcterms:W3CDTF">2014-08-19T17:10:00Z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